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5AB73E5" w14:textId="77777777" w:rsidTr="00470DE7">
        <w:tc>
          <w:tcPr>
            <w:tcW w:w="14850" w:type="dxa"/>
            <w:gridSpan w:val="2"/>
            <w:shd w:val="clear" w:color="auto" w:fill="auto"/>
          </w:tcPr>
          <w:p w14:paraId="33754A2D" w14:textId="6EB76169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9486C16" wp14:editId="1A678460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50019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993C2E">
              <w:rPr>
                <w:rFonts w:ascii="Comic Sans MS" w:hAnsi="Comic Sans MS"/>
                <w:sz w:val="32"/>
                <w:szCs w:val="32"/>
              </w:rPr>
              <w:t>dium Term Planning for Computing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Autumn Term 202</w:t>
            </w:r>
            <w:r w:rsidR="00372AC2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14F9E9F6" w14:textId="77777777" w:rsidTr="00470DE7">
        <w:tc>
          <w:tcPr>
            <w:tcW w:w="3065" w:type="dxa"/>
            <w:shd w:val="clear" w:color="auto" w:fill="auto"/>
          </w:tcPr>
          <w:p w14:paraId="5EF24F81" w14:textId="0123433C" w:rsidR="00F50019" w:rsidRPr="00372AC2" w:rsidRDefault="00470DE7" w:rsidP="00F500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72AC2">
              <w:rPr>
                <w:rFonts w:ascii="Comic Sans MS" w:hAnsi="Comic Sans MS"/>
                <w:sz w:val="24"/>
                <w:szCs w:val="24"/>
              </w:rPr>
              <w:t xml:space="preserve">Topic: </w:t>
            </w:r>
            <w:r w:rsidR="00F50019" w:rsidRPr="00372AC2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372AC2" w:rsidRPr="00372AC2">
              <w:rPr>
                <w:rFonts w:ascii="Comic Sans MS" w:hAnsi="Comic Sans MS"/>
                <w:sz w:val="24"/>
                <w:szCs w:val="24"/>
                <w:u w:val="single"/>
              </w:rPr>
              <w:t>The Victorians</w:t>
            </w:r>
          </w:p>
          <w:p w14:paraId="40D707C0" w14:textId="7442456F" w:rsidR="00372AC2" w:rsidRPr="00372AC2" w:rsidRDefault="00372AC2" w:rsidP="00F50019">
            <w:pPr>
              <w:rPr>
                <w:rFonts w:ascii="Comic Sans MS" w:hAnsi="Comic Sans MS"/>
                <w:sz w:val="24"/>
                <w:szCs w:val="24"/>
              </w:rPr>
            </w:pPr>
            <w:r w:rsidRPr="00372AC2">
              <w:rPr>
                <w:rFonts w:ascii="Comic Sans MS" w:hAnsi="Comic Sans MS"/>
                <w:sz w:val="24"/>
                <w:szCs w:val="24"/>
              </w:rPr>
              <w:t>Use technology to learn about The Victorians</w:t>
            </w:r>
          </w:p>
          <w:p w14:paraId="3A81CD82" w14:textId="10E0E97F" w:rsidR="00457178" w:rsidRPr="00ED0405" w:rsidRDefault="00F50019" w:rsidP="00F50019">
            <w:pPr>
              <w:rPr>
                <w:rFonts w:ascii="Comic Sans MS" w:hAnsi="Comic Sans MS"/>
                <w:sz w:val="20"/>
                <w:szCs w:val="20"/>
              </w:rPr>
            </w:pPr>
            <w:r w:rsidRPr="00372AC2">
              <w:rPr>
                <w:rFonts w:ascii="Comic Sans MS" w:hAnsi="Comic Sans MS"/>
                <w:sz w:val="24"/>
                <w:szCs w:val="24"/>
              </w:rPr>
              <w:t xml:space="preserve">Programming – </w:t>
            </w:r>
            <w:r w:rsidRPr="00372AC2">
              <w:rPr>
                <w:rFonts w:ascii="Comic Sans MS" w:hAnsi="Comic Sans MS" w:cs="Arial"/>
                <w:sz w:val="24"/>
                <w:szCs w:val="24"/>
              </w:rPr>
              <w:t>Improve and change the sequence of commands</w:t>
            </w:r>
          </w:p>
        </w:tc>
        <w:tc>
          <w:tcPr>
            <w:tcW w:w="11785" w:type="dxa"/>
            <w:shd w:val="clear" w:color="auto" w:fill="auto"/>
          </w:tcPr>
          <w:p w14:paraId="20B5B4E4" w14:textId="03A70C66" w:rsidR="00470DE7" w:rsidRDefault="00ED0405" w:rsidP="00ED04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Computing will be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developed throughout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curriculum, giving children the opportunity to take photos, use 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ipad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explore torches etc. This plan is to provide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 specific planned opportunities to support the children’s progress and may be altered to suit the needs of th</w:t>
            </w:r>
            <w:r>
              <w:rPr>
                <w:rFonts w:ascii="Comic Sans MS" w:hAnsi="Comic Sans MS"/>
                <w:sz w:val="20"/>
                <w:szCs w:val="20"/>
              </w:rPr>
              <w:t xml:space="preserve">e children during the term to support their learning in areas of Cause and effect, Understanding of sequence, attention and timing, targeting and timing, introducing choice and choice making using simple </w:t>
            </w:r>
            <w:r w:rsidR="00F50019">
              <w:rPr>
                <w:rFonts w:ascii="Comic Sans MS" w:hAnsi="Comic Sans MS"/>
                <w:sz w:val="20"/>
                <w:szCs w:val="20"/>
              </w:rPr>
              <w:t>toys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75E95F4C" w14:textId="77777777" w:rsidR="00ED0405" w:rsidRPr="00721669" w:rsidRDefault="00ED0405" w:rsidP="00ED04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these computing skills are the foundations to being able to operate technology which will later lead to programming.</w:t>
            </w:r>
          </w:p>
        </w:tc>
      </w:tr>
    </w:tbl>
    <w:p w14:paraId="529145E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2796" w:type="dxa"/>
        <w:tblInd w:w="-185" w:type="dxa"/>
        <w:tblLook w:val="04A0" w:firstRow="1" w:lastRow="0" w:firstColumn="1" w:lastColumn="0" w:noHBand="0" w:noVBand="1"/>
      </w:tblPr>
      <w:tblGrid>
        <w:gridCol w:w="2610"/>
        <w:gridCol w:w="1539"/>
        <w:gridCol w:w="1985"/>
        <w:gridCol w:w="2126"/>
        <w:gridCol w:w="2268"/>
        <w:gridCol w:w="2268"/>
      </w:tblGrid>
      <w:tr w:rsidR="00372AC2" w:rsidRPr="00721669" w14:paraId="719B3AF1" w14:textId="303F7139" w:rsidTr="00372AC2">
        <w:trPr>
          <w:trHeight w:val="70"/>
        </w:trPr>
        <w:tc>
          <w:tcPr>
            <w:tcW w:w="2610" w:type="dxa"/>
            <w:shd w:val="clear" w:color="auto" w:fill="auto"/>
          </w:tcPr>
          <w:p w14:paraId="2A329577" w14:textId="77777777" w:rsidR="00372AC2" w:rsidRDefault="00372AC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 and Learn it</w:t>
            </w:r>
          </w:p>
          <w:p w14:paraId="719CD011" w14:textId="77777777" w:rsidR="00372AC2" w:rsidRDefault="00372AC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7E71436" w14:textId="77777777" w:rsidR="00372AC2" w:rsidRPr="00A96D8A" w:rsidRDefault="00372AC2">
            <w:pPr>
              <w:rPr>
                <w:rFonts w:ascii="Comic Sans MS" w:hAnsi="Comic Sans MS"/>
                <w:sz w:val="20"/>
                <w:szCs w:val="20"/>
              </w:rPr>
            </w:pPr>
            <w:r w:rsidRPr="00A96D8A">
              <w:rPr>
                <w:rFonts w:ascii="Comic Sans MS" w:hAnsi="Comic Sans MS"/>
                <w:sz w:val="20"/>
                <w:szCs w:val="20"/>
              </w:rPr>
              <w:t>Cause effect toys out to explore. Previous knowledge of how to work these toys.</w:t>
            </w:r>
          </w:p>
          <w:p w14:paraId="66FF3528" w14:textId="77777777" w:rsidR="00372AC2" w:rsidRDefault="00372AC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7A71BB1" w14:textId="77777777" w:rsidR="00372AC2" w:rsidRDefault="00372AC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activity</w:t>
            </w:r>
          </w:p>
          <w:p w14:paraId="68DF83D0" w14:textId="5F552AA9" w:rsidR="00372AC2" w:rsidRDefault="00372AC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</w:t>
            </w:r>
          </w:p>
          <w:p w14:paraId="61528BB4" w14:textId="221C22E3" w:rsidR="00372AC2" w:rsidRPr="00F50019" w:rsidRDefault="00372AC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Guided play and intensive interaction with cause and effect toys</w:t>
            </w:r>
          </w:p>
          <w:p w14:paraId="61D0B4E7" w14:textId="77777777" w:rsidR="00372AC2" w:rsidRDefault="00372AC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B8E2CD" w14:textId="77777777" w:rsidR="00372AC2" w:rsidRDefault="00372A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Model activity to whole group.</w:t>
            </w:r>
          </w:p>
          <w:p w14:paraId="35E1A6FE" w14:textId="77777777" w:rsidR="00372AC2" w:rsidRPr="00470DE7" w:rsidRDefault="00372A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2CD033EB" w14:textId="77777777" w:rsidR="00372AC2" w:rsidRPr="00721669" w:rsidRDefault="00372AC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it</w:t>
            </w:r>
          </w:p>
          <w:p w14:paraId="4A648973" w14:textId="77777777" w:rsidR="00372AC2" w:rsidRDefault="00372AC2" w:rsidP="00B57D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DF9DAC5" w14:textId="77777777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activity</w:t>
            </w:r>
          </w:p>
          <w:p w14:paraId="454A70D0" w14:textId="77777777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</w:t>
            </w:r>
          </w:p>
          <w:p w14:paraId="1067E72B" w14:textId="7F0757D8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Watch an adult operate 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BBot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, attempt to use</w:t>
            </w:r>
          </w:p>
          <w:p w14:paraId="7D1C21DA" w14:textId="77777777" w:rsidR="00372AC2" w:rsidRDefault="00372AC2" w:rsidP="00B57D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5F96ADAA" w14:textId="77777777" w:rsidR="00372AC2" w:rsidRDefault="00372AC2" w:rsidP="00B57D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2913404" w14:textId="77777777" w:rsidR="00372AC2" w:rsidRPr="00721669" w:rsidRDefault="00372AC2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Look at the activity as a group.</w:t>
            </w:r>
          </w:p>
        </w:tc>
        <w:tc>
          <w:tcPr>
            <w:tcW w:w="1985" w:type="dxa"/>
            <w:shd w:val="clear" w:color="auto" w:fill="auto"/>
          </w:tcPr>
          <w:p w14:paraId="07854E74" w14:textId="77777777" w:rsidR="00372AC2" w:rsidRPr="00721669" w:rsidRDefault="00372AC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esson 3 – Check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201F792E" w14:textId="77777777" w:rsidR="00372AC2" w:rsidRDefault="00372AC2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278A6A9" w14:textId="77777777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activity</w:t>
            </w:r>
          </w:p>
          <w:p w14:paraId="199E9024" w14:textId="100A1A65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</w:t>
            </w:r>
          </w:p>
          <w:p w14:paraId="6EA3411F" w14:textId="1490E760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Operate with less adult input</w:t>
            </w:r>
          </w:p>
          <w:p w14:paraId="194FD6D2" w14:textId="77777777" w:rsidR="00372AC2" w:rsidRDefault="00372AC2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Look at the activity as a group.</w:t>
            </w:r>
          </w:p>
          <w:p w14:paraId="26F0FFB8" w14:textId="77777777" w:rsidR="00372AC2" w:rsidRDefault="00372AC2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68F0FFC" w14:textId="77777777" w:rsidR="00372AC2" w:rsidRDefault="00372AC2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964FDBB" w14:textId="77777777" w:rsidR="00372AC2" w:rsidRDefault="00372AC2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266B7D6" w14:textId="77777777" w:rsidR="00372AC2" w:rsidRDefault="00372AC2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9A782D4" w14:textId="77777777" w:rsidR="00372AC2" w:rsidRDefault="00372AC2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A52E30B" w14:textId="77777777" w:rsidR="00372AC2" w:rsidRDefault="00372AC2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8DD09A5" w14:textId="77777777" w:rsidR="00372AC2" w:rsidRDefault="00372AC2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2C7C0F5" w14:textId="77777777" w:rsidR="00372AC2" w:rsidRPr="00721669" w:rsidRDefault="00372AC2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422B75" w14:textId="77777777" w:rsidR="00372AC2" w:rsidRPr="00721669" w:rsidRDefault="00372AC2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4989E0AD" w14:textId="77777777" w:rsidR="00372AC2" w:rsidRPr="00721669" w:rsidRDefault="00372AC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–Show it</w:t>
            </w:r>
          </w:p>
          <w:p w14:paraId="497D1707" w14:textId="77777777" w:rsidR="00372AC2" w:rsidRDefault="00372AC2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EE93AA3" w14:textId="77777777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activity</w:t>
            </w:r>
          </w:p>
          <w:p w14:paraId="347B69EA" w14:textId="77777777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</w:t>
            </w:r>
          </w:p>
          <w:p w14:paraId="24559DC6" w14:textId="7AEA3CAB" w:rsidR="00372AC2" w:rsidRDefault="00372AC2" w:rsidP="00F500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Operate independently</w:t>
            </w:r>
          </w:p>
          <w:p w14:paraId="039277FF" w14:textId="77777777" w:rsidR="00372AC2" w:rsidRDefault="00372AC2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512148E" w14:textId="77777777" w:rsidR="00372AC2" w:rsidRPr="00A96D8A" w:rsidRDefault="00372AC2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A96D8A">
              <w:rPr>
                <w:rFonts w:ascii="Comic Sans MS" w:hAnsi="Comic Sans MS"/>
                <w:sz w:val="20"/>
                <w:szCs w:val="20"/>
              </w:rPr>
              <w:t>No modelling today, can the children demonstrate their understanding and take part independently, from previous knowledge of the activity.</w:t>
            </w:r>
          </w:p>
          <w:p w14:paraId="41AB57CA" w14:textId="77777777" w:rsidR="00372AC2" w:rsidRDefault="00372AC2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553AFCE" w14:textId="77777777" w:rsidR="00372AC2" w:rsidRDefault="00372AC2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68C605B" w14:textId="77777777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Look at the activity as a group.</w:t>
            </w:r>
          </w:p>
          <w:p w14:paraId="625959D3" w14:textId="77777777" w:rsidR="00372AC2" w:rsidRPr="00721669" w:rsidRDefault="00372AC2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8D7DA88" w14:textId="77777777" w:rsidR="00372AC2" w:rsidRPr="00721669" w:rsidRDefault="00372AC2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5 -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 it</w:t>
            </w:r>
          </w:p>
          <w:p w14:paraId="2BE755F2" w14:textId="77777777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4D8E3C7" w14:textId="77777777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activity</w:t>
            </w:r>
          </w:p>
          <w:p w14:paraId="6FA73257" w14:textId="77777777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</w:t>
            </w:r>
          </w:p>
          <w:p w14:paraId="56AA3B95" w14:textId="77777777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BBC9D7E" w14:textId="0062C6EE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96D8A">
              <w:rPr>
                <w:rFonts w:ascii="Comic Sans MS" w:hAnsi="Comic Sans MS"/>
                <w:b/>
                <w:sz w:val="20"/>
                <w:szCs w:val="20"/>
              </w:rPr>
              <w:t xml:space="preserve">Let the children choose from the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toys including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BBot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with mat and show skills</w:t>
            </w:r>
          </w:p>
          <w:p w14:paraId="6DF2C6DC" w14:textId="77777777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C3C8D5" w14:textId="77777777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2FC3DDE" w14:textId="77777777" w:rsidR="00372AC2" w:rsidRDefault="00372AC2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Look at the activity as a group.</w:t>
            </w:r>
          </w:p>
          <w:p w14:paraId="71DE20BF" w14:textId="77777777" w:rsidR="00372AC2" w:rsidRPr="00A96D8A" w:rsidRDefault="00372AC2" w:rsidP="00A96D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2DFC81" w14:textId="77777777" w:rsidR="00372AC2" w:rsidRDefault="00372AC2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6</w:t>
            </w:r>
          </w:p>
          <w:p w14:paraId="11BCB994" w14:textId="77777777" w:rsidR="00372AC2" w:rsidRDefault="00372AC2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it</w:t>
            </w:r>
          </w:p>
          <w:p w14:paraId="33305EB5" w14:textId="60613149" w:rsidR="00372AC2" w:rsidRPr="00144070" w:rsidRDefault="00372AC2" w:rsidP="005F556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4070">
              <w:rPr>
                <w:rFonts w:ascii="Comic Sans MS" w:hAnsi="Comic Sans MS"/>
                <w:b/>
                <w:sz w:val="20"/>
                <w:szCs w:val="20"/>
              </w:rPr>
              <w:t>Watch videos of Victorian Horrible Histories</w:t>
            </w:r>
            <w:r w:rsidR="00144070">
              <w:rPr>
                <w:rFonts w:ascii="Comic Sans MS" w:hAnsi="Comic Sans MS"/>
                <w:b/>
                <w:sz w:val="20"/>
                <w:szCs w:val="20"/>
              </w:rPr>
              <w:t>, watch adult choose and control</w:t>
            </w:r>
          </w:p>
          <w:p w14:paraId="3DE0F57A" w14:textId="23D1FCD3" w:rsidR="00372AC2" w:rsidRDefault="00372AC2" w:rsidP="005F556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4070">
              <w:rPr>
                <w:rFonts w:ascii="Comic Sans MS" w:hAnsi="Comic Sans MS"/>
                <w:b/>
                <w:sz w:val="20"/>
                <w:szCs w:val="20"/>
              </w:rPr>
              <w:t>Lesson 7</w:t>
            </w:r>
          </w:p>
          <w:p w14:paraId="49DCED57" w14:textId="529CD793" w:rsidR="00144070" w:rsidRPr="00144070" w:rsidRDefault="00144070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4407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Learn it </w:t>
            </w:r>
          </w:p>
          <w:p w14:paraId="020E233B" w14:textId="77777777" w:rsidR="00372AC2" w:rsidRDefault="00372AC2" w:rsidP="005F556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4070">
              <w:rPr>
                <w:rFonts w:ascii="Comic Sans MS" w:hAnsi="Comic Sans MS"/>
                <w:b/>
                <w:sz w:val="20"/>
                <w:szCs w:val="20"/>
              </w:rPr>
              <w:t xml:space="preserve">Choose from one of two, pause, fast </w:t>
            </w:r>
            <w:proofErr w:type="spellStart"/>
            <w:r w:rsidRPr="00144070">
              <w:rPr>
                <w:rFonts w:ascii="Comic Sans MS" w:hAnsi="Comic Sans MS"/>
                <w:b/>
                <w:sz w:val="20"/>
                <w:szCs w:val="20"/>
              </w:rPr>
              <w:t>f</w:t>
            </w:r>
            <w:r w:rsidR="00144070" w:rsidRPr="00144070">
              <w:rPr>
                <w:rFonts w:ascii="Comic Sans MS" w:hAnsi="Comic Sans MS"/>
                <w:b/>
                <w:sz w:val="20"/>
                <w:szCs w:val="20"/>
              </w:rPr>
              <w:t>wd</w:t>
            </w:r>
            <w:proofErr w:type="spellEnd"/>
            <w:r w:rsidR="00144070" w:rsidRPr="00144070">
              <w:rPr>
                <w:rFonts w:ascii="Comic Sans MS" w:hAnsi="Comic Sans MS"/>
                <w:b/>
                <w:sz w:val="20"/>
                <w:szCs w:val="20"/>
              </w:rPr>
              <w:t xml:space="preserve"> and rewind</w:t>
            </w:r>
            <w:r w:rsidR="00144070">
              <w:rPr>
                <w:rFonts w:ascii="Comic Sans MS" w:hAnsi="Comic Sans MS"/>
                <w:b/>
                <w:sz w:val="20"/>
                <w:szCs w:val="20"/>
              </w:rPr>
              <w:t xml:space="preserve"> with support</w:t>
            </w:r>
          </w:p>
          <w:p w14:paraId="1E935C1A" w14:textId="77777777" w:rsidR="00144070" w:rsidRDefault="00144070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8</w:t>
            </w:r>
          </w:p>
          <w:p w14:paraId="0CE775D2" w14:textId="632FB18E" w:rsidR="00144070" w:rsidRPr="00144070" w:rsidRDefault="00144070" w:rsidP="005F55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 above with increased independence</w:t>
            </w:r>
          </w:p>
        </w:tc>
      </w:tr>
    </w:tbl>
    <w:p w14:paraId="6B311D9E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564A3028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77264ED0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lastRenderedPageBreak/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4866CEE5" w14:textId="77777777" w:rsidTr="00470DE7">
        <w:tc>
          <w:tcPr>
            <w:tcW w:w="6773" w:type="dxa"/>
            <w:shd w:val="clear" w:color="auto" w:fill="auto"/>
          </w:tcPr>
          <w:p w14:paraId="13AA6B11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0BDA1510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3CAEBE3B" w14:textId="77777777" w:rsidTr="00470DE7">
        <w:tc>
          <w:tcPr>
            <w:tcW w:w="6773" w:type="dxa"/>
            <w:shd w:val="clear" w:color="auto" w:fill="auto"/>
          </w:tcPr>
          <w:p w14:paraId="2B1BF6FE" w14:textId="77777777" w:rsidR="0074754A" w:rsidRPr="000A2F4D" w:rsidRDefault="000A2F4D" w:rsidP="000A2F4D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Cause and effect</w:t>
            </w:r>
          </w:p>
          <w:p w14:paraId="6ADF32E8" w14:textId="77777777" w:rsidR="000A2F4D" w:rsidRPr="000A2F4D" w:rsidRDefault="000A2F4D" w:rsidP="000A2F4D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To know that pressing a button or specified place will cause something to happen.</w:t>
            </w:r>
          </w:p>
          <w:p w14:paraId="0FB0D6CF" w14:textId="77777777" w:rsidR="000A2F4D" w:rsidRPr="000A2F4D" w:rsidRDefault="000A2F4D" w:rsidP="000A2F4D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To press and hold with create an effect.</w:t>
            </w:r>
          </w:p>
          <w:p w14:paraId="0E2D85AA" w14:textId="77777777" w:rsidR="000A2F4D" w:rsidRPr="000A2F4D" w:rsidRDefault="000A2F4D" w:rsidP="000A2F4D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To press and let go may create a response.</w:t>
            </w:r>
          </w:p>
          <w:p w14:paraId="036D82A9" w14:textId="77777777" w:rsidR="000A2F4D" w:rsidRPr="002C4AAF" w:rsidRDefault="000A2F4D" w:rsidP="000A2F4D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To press again will create a response.</w:t>
            </w:r>
          </w:p>
        </w:tc>
        <w:tc>
          <w:tcPr>
            <w:tcW w:w="8167" w:type="dxa"/>
            <w:shd w:val="clear" w:color="auto" w:fill="auto"/>
          </w:tcPr>
          <w:p w14:paraId="1B3A2DD7" w14:textId="77777777" w:rsidR="002C4AAF" w:rsidRPr="00457178" w:rsidRDefault="000A2F4D" w:rsidP="000A2F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57178">
              <w:rPr>
                <w:rFonts w:ascii="Comic Sans MS" w:hAnsi="Comic Sans MS"/>
                <w:sz w:val="22"/>
                <w:szCs w:val="22"/>
              </w:rPr>
              <w:t>Birth to 3 Understanding the world</w:t>
            </w:r>
          </w:p>
          <w:p w14:paraId="21FD5D89" w14:textId="77777777" w:rsidR="000A2F4D" w:rsidRPr="00457178" w:rsidRDefault="000A2F4D" w:rsidP="000A2F4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14:paraId="0FFA0EBD" w14:textId="77777777" w:rsidR="000A2F4D" w:rsidRPr="00457178" w:rsidRDefault="000A2F4D" w:rsidP="000A2F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57178">
              <w:rPr>
                <w:rFonts w:ascii="Comic Sans MS" w:hAnsi="Comic Sans MS"/>
                <w:sz w:val="22"/>
                <w:szCs w:val="22"/>
              </w:rPr>
              <w:t xml:space="preserve">Repeat actions that have an effect. </w:t>
            </w:r>
          </w:p>
          <w:p w14:paraId="07142475" w14:textId="77777777" w:rsidR="000A2F4D" w:rsidRPr="00457178" w:rsidRDefault="000A2F4D" w:rsidP="000A2F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57178">
              <w:rPr>
                <w:rFonts w:ascii="Comic Sans MS" w:hAnsi="Comic Sans MS"/>
                <w:sz w:val="22"/>
                <w:szCs w:val="22"/>
              </w:rPr>
              <w:t xml:space="preserve">3-4 year </w:t>
            </w:r>
            <w:proofErr w:type="spellStart"/>
            <w:r w:rsidRPr="00457178">
              <w:rPr>
                <w:rFonts w:ascii="Comic Sans MS" w:hAnsi="Comic Sans MS"/>
                <w:sz w:val="22"/>
                <w:szCs w:val="22"/>
              </w:rPr>
              <w:t>olds</w:t>
            </w:r>
            <w:proofErr w:type="spellEnd"/>
          </w:p>
          <w:p w14:paraId="2AC74E08" w14:textId="77777777" w:rsidR="000A2F4D" w:rsidRPr="00457178" w:rsidRDefault="000A2F4D" w:rsidP="000A2F4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14:paraId="3B096538" w14:textId="77777777" w:rsidR="000A2F4D" w:rsidRPr="00457178" w:rsidRDefault="000A2F4D" w:rsidP="000A2F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57178">
              <w:rPr>
                <w:rFonts w:ascii="Comic Sans MS" w:hAnsi="Comic Sans MS"/>
                <w:sz w:val="22"/>
                <w:szCs w:val="22"/>
              </w:rPr>
              <w:t xml:space="preserve">Explore how things work. </w:t>
            </w:r>
          </w:p>
          <w:p w14:paraId="727CE6CA" w14:textId="77777777" w:rsidR="000A2F4D" w:rsidRPr="00457178" w:rsidRDefault="000A2F4D" w:rsidP="000A2F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6C4B82D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13DA488D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38A4551E" w14:textId="77777777" w:rsidTr="00470DE7">
        <w:tc>
          <w:tcPr>
            <w:tcW w:w="2988" w:type="dxa"/>
            <w:shd w:val="clear" w:color="auto" w:fill="auto"/>
          </w:tcPr>
          <w:p w14:paraId="381E178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7579426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47F5314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24702BC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7E4BAFC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5892AD07" w14:textId="77777777" w:rsidTr="00470DE7">
        <w:tc>
          <w:tcPr>
            <w:tcW w:w="2988" w:type="dxa"/>
            <w:shd w:val="clear" w:color="auto" w:fill="auto"/>
          </w:tcPr>
          <w:p w14:paraId="13622D4D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3870AECD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5EEC16B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7F02A2" w14:textId="77777777" w:rsidR="00B57D77" w:rsidRPr="00470DE7" w:rsidRDefault="00A96D8A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Link to operating toys using cause and effect</w:t>
            </w:r>
          </w:p>
        </w:tc>
        <w:tc>
          <w:tcPr>
            <w:tcW w:w="2988" w:type="dxa"/>
            <w:shd w:val="clear" w:color="auto" w:fill="auto"/>
          </w:tcPr>
          <w:p w14:paraId="7A94D5BE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3AD8D282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290089DA" w14:textId="71F389C0" w:rsidR="000A2F4D" w:rsidRPr="00470DE7" w:rsidRDefault="00F500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remote control vehicles</w:t>
            </w:r>
          </w:p>
        </w:tc>
        <w:tc>
          <w:tcPr>
            <w:tcW w:w="2988" w:type="dxa"/>
            <w:shd w:val="clear" w:color="auto" w:fill="auto"/>
          </w:tcPr>
          <w:p w14:paraId="14B5270C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04A7A957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2F182800" w14:textId="77777777" w:rsidR="00B57D7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C36715" w14:textId="6A74F5E9" w:rsidR="000A2F4D" w:rsidRPr="00470DE7" w:rsidRDefault="000A2F4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the skill of </w:t>
            </w:r>
            <w:r w:rsidR="00F50019">
              <w:rPr>
                <w:rFonts w:ascii="Comic Sans MS" w:hAnsi="Comic Sans MS"/>
                <w:sz w:val="20"/>
                <w:szCs w:val="20"/>
              </w:rPr>
              <w:t>operating the vehicles</w:t>
            </w:r>
          </w:p>
        </w:tc>
        <w:tc>
          <w:tcPr>
            <w:tcW w:w="2988" w:type="dxa"/>
            <w:shd w:val="clear" w:color="auto" w:fill="auto"/>
          </w:tcPr>
          <w:p w14:paraId="7F567DB9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34220E08" w14:textId="77777777" w:rsidR="00721669" w:rsidRDefault="00721669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810B12" w14:textId="7CE53925" w:rsidR="000A2F4D" w:rsidRPr="00470DE7" w:rsidRDefault="000A2F4D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Show that you can </w:t>
            </w:r>
            <w:r w:rsidR="00F50019">
              <w:rPr>
                <w:rFonts w:ascii="Comic Sans MS" w:hAnsi="Comic Sans MS"/>
                <w:sz w:val="20"/>
                <w:szCs w:val="20"/>
              </w:rPr>
              <w:t>operate the vehicles with little support</w:t>
            </w:r>
          </w:p>
        </w:tc>
        <w:tc>
          <w:tcPr>
            <w:tcW w:w="2988" w:type="dxa"/>
            <w:shd w:val="clear" w:color="auto" w:fill="auto"/>
          </w:tcPr>
          <w:p w14:paraId="069273EE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3B762264" w14:textId="77777777" w:rsidR="008D1606" w:rsidRDefault="008D160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122142" w14:textId="04A54E1B" w:rsidR="000A2F4D" w:rsidRPr="00470DE7" w:rsidRDefault="00F5001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Operate the vehicles independently</w:t>
            </w:r>
          </w:p>
        </w:tc>
      </w:tr>
    </w:tbl>
    <w:p w14:paraId="0E04CD66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6F11" w14:textId="77777777" w:rsidR="000A2F4D" w:rsidRDefault="000A2F4D" w:rsidP="00470DE7">
      <w:pPr>
        <w:spacing w:after="0" w:line="240" w:lineRule="auto"/>
      </w:pPr>
      <w:r>
        <w:separator/>
      </w:r>
    </w:p>
  </w:endnote>
  <w:endnote w:type="continuationSeparator" w:id="0">
    <w:p w14:paraId="1E56546E" w14:textId="77777777" w:rsidR="000A2F4D" w:rsidRDefault="000A2F4D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1E6F" w14:textId="77777777" w:rsidR="000A2F4D" w:rsidRDefault="000A2F4D" w:rsidP="00470DE7">
      <w:pPr>
        <w:spacing w:after="0" w:line="240" w:lineRule="auto"/>
      </w:pPr>
      <w:r>
        <w:separator/>
      </w:r>
    </w:p>
  </w:footnote>
  <w:footnote w:type="continuationSeparator" w:id="0">
    <w:p w14:paraId="2D9BFA3D" w14:textId="77777777" w:rsidR="000A2F4D" w:rsidRDefault="000A2F4D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A8B8" w14:textId="77777777" w:rsidR="000A2F4D" w:rsidRDefault="000A2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A2F4D"/>
    <w:rsid w:val="00144070"/>
    <w:rsid w:val="001542AF"/>
    <w:rsid w:val="001D7295"/>
    <w:rsid w:val="002C4AAF"/>
    <w:rsid w:val="00372AC2"/>
    <w:rsid w:val="00434990"/>
    <w:rsid w:val="00457178"/>
    <w:rsid w:val="00470DE7"/>
    <w:rsid w:val="00497491"/>
    <w:rsid w:val="005D41E2"/>
    <w:rsid w:val="005F556D"/>
    <w:rsid w:val="00630686"/>
    <w:rsid w:val="006D078D"/>
    <w:rsid w:val="00721669"/>
    <w:rsid w:val="0074754A"/>
    <w:rsid w:val="007B7A6A"/>
    <w:rsid w:val="007C0FC5"/>
    <w:rsid w:val="008B07D4"/>
    <w:rsid w:val="008C60BA"/>
    <w:rsid w:val="008D1606"/>
    <w:rsid w:val="008D4944"/>
    <w:rsid w:val="009104C1"/>
    <w:rsid w:val="00993C2E"/>
    <w:rsid w:val="00A96D8A"/>
    <w:rsid w:val="00B324B7"/>
    <w:rsid w:val="00B3329D"/>
    <w:rsid w:val="00B57D77"/>
    <w:rsid w:val="00C46867"/>
    <w:rsid w:val="00C5585C"/>
    <w:rsid w:val="00ED0405"/>
    <w:rsid w:val="00F50019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CCB7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Miss C. Jervis</cp:lastModifiedBy>
  <cp:revision>2</cp:revision>
  <dcterms:created xsi:type="dcterms:W3CDTF">2023-08-30T13:51:00Z</dcterms:created>
  <dcterms:modified xsi:type="dcterms:W3CDTF">2023-08-30T13:51:00Z</dcterms:modified>
</cp:coreProperties>
</file>